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7613" w14:textId="77777777" w:rsidR="00403CD9" w:rsidRPr="00403CD9" w:rsidRDefault="00403CD9" w:rsidP="00403CD9">
      <w:pPr>
        <w:pStyle w:val="p1"/>
        <w:rPr>
          <w:b/>
          <w:bCs/>
          <w:sz w:val="24"/>
          <w:szCs w:val="24"/>
        </w:rPr>
      </w:pPr>
      <w:r w:rsidRPr="00403CD9">
        <w:rPr>
          <w:b/>
          <w:bCs/>
          <w:sz w:val="24"/>
          <w:szCs w:val="24"/>
        </w:rPr>
        <w:t>Beleidsplan Stichting True Green</w:t>
      </w:r>
    </w:p>
    <w:p w14:paraId="685BF9B4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0490DB92" w14:textId="26F337D8" w:rsidR="00403CD9" w:rsidRPr="00403CD9" w:rsidRDefault="00403CD9" w:rsidP="00403CD9">
      <w:pPr>
        <w:pStyle w:val="p1"/>
        <w:rPr>
          <w:b/>
          <w:bCs/>
          <w:sz w:val="24"/>
          <w:szCs w:val="24"/>
        </w:rPr>
      </w:pPr>
      <w:r w:rsidRPr="00403CD9">
        <w:rPr>
          <w:b/>
          <w:bCs/>
          <w:sz w:val="24"/>
          <w:szCs w:val="24"/>
        </w:rPr>
        <w:t xml:space="preserve">1. </w:t>
      </w:r>
      <w:r w:rsidRPr="00403CD9">
        <w:rPr>
          <w:b/>
          <w:bCs/>
          <w:sz w:val="24"/>
          <w:szCs w:val="24"/>
        </w:rPr>
        <w:t>Doelstelling</w:t>
      </w:r>
    </w:p>
    <w:p w14:paraId="1659A4BA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721C722C" w14:textId="57F61392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sz w:val="24"/>
          <w:szCs w:val="24"/>
        </w:rPr>
        <w:t>‘Samen voor een wereld in balans’</w:t>
      </w:r>
    </w:p>
    <w:p w14:paraId="190A7B62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66C9B331" w14:textId="234E0998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sz w:val="24"/>
          <w:szCs w:val="24"/>
        </w:rPr>
        <w:t>True Green streeft naar een wereld waarin mens en natuur in harmonie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kunnen bestaan. We ondersteunen projecten voor natuurherstel,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natuurbehoud en het bevorderen van biodiversiteit</w:t>
      </w:r>
      <w:r>
        <w:rPr>
          <w:sz w:val="24"/>
          <w:szCs w:val="24"/>
        </w:rPr>
        <w:t xml:space="preserve"> én duurzaamheidsbewustzijn</w:t>
      </w:r>
      <w:r w:rsidRPr="00403CD9">
        <w:rPr>
          <w:sz w:val="24"/>
          <w:szCs w:val="24"/>
        </w:rPr>
        <w:t>, zowel in Nederland als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daarbuiten. Samen met gepassioneerde mensen die onze visie delen, werken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we aan een positieve impact op de natuurlijke leefomgeving, met oog op de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toekomst van komende generaties.</w:t>
      </w:r>
    </w:p>
    <w:p w14:paraId="3022F66A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62EC4DEB" w14:textId="77777777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b/>
          <w:bCs/>
          <w:sz w:val="24"/>
          <w:szCs w:val="24"/>
        </w:rPr>
        <w:t>2. Werkzaamheden en activiteiten</w:t>
      </w:r>
    </w:p>
    <w:p w14:paraId="608F0E43" w14:textId="35771466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sz w:val="24"/>
          <w:szCs w:val="24"/>
        </w:rPr>
        <w:t>Onze bestuursleden selecteren projecten en nodigen passende organisaties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uit voor financieringsaanvragen. Projecten worden streng beoordeeld en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ondersteund met donaties, leningen of investeringen. True Green werkt met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minder bekende, lokaal geleide projecten en onderhoudt intensief contact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met de projectleiders. Donateurs ontvangen jaarlijkse updates.</w:t>
      </w:r>
    </w:p>
    <w:p w14:paraId="59142D16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6B22FC20" w14:textId="77777777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b/>
          <w:bCs/>
          <w:sz w:val="24"/>
          <w:szCs w:val="24"/>
        </w:rPr>
        <w:t>3. Fondsenwerving</w:t>
      </w:r>
    </w:p>
    <w:p w14:paraId="0877B227" w14:textId="700CC400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sz w:val="24"/>
          <w:szCs w:val="24"/>
        </w:rPr>
        <w:t>True Green ontvangt donaties van een kleine, vaste groep donateurs met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verbintenissen van drie jaar, waardoor onze continuïteit verzekerd is.</w:t>
      </w:r>
    </w:p>
    <w:p w14:paraId="4102873F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72FA33C5" w14:textId="77777777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b/>
          <w:bCs/>
          <w:sz w:val="24"/>
          <w:szCs w:val="24"/>
        </w:rPr>
        <w:t>4. Beheer van het vermogen</w:t>
      </w:r>
    </w:p>
    <w:p w14:paraId="2F873AA0" w14:textId="5E001449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sz w:val="24"/>
          <w:szCs w:val="24"/>
        </w:rPr>
        <w:t>Alle donaties gaan rechtstreeks naar projecten; True Green maakt geen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onkosten. Er wordt een kleine buffer aangehouden voor de continuïteit,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zonder verdere vermogensopbouw.</w:t>
      </w:r>
    </w:p>
    <w:p w14:paraId="62495939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71E0DF11" w14:textId="77777777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b/>
          <w:bCs/>
          <w:sz w:val="24"/>
          <w:szCs w:val="24"/>
        </w:rPr>
        <w:t>5. Bestedingsbeleid</w:t>
      </w:r>
    </w:p>
    <w:p w14:paraId="1ED6FF12" w14:textId="49624B43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sz w:val="24"/>
          <w:szCs w:val="24"/>
        </w:rPr>
        <w:t>De fondsen worden jaarlijks volledig ingezet voor projecten in lijn met onze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missie. Verplichtingen overstijgen nooit de binnenkomende middelen, wat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onze continuïteit waarborgt.</w:t>
      </w:r>
      <w:r w:rsidRPr="00403CD9">
        <w:rPr>
          <w:sz w:val="24"/>
          <w:szCs w:val="24"/>
        </w:rPr>
        <w:t xml:space="preserve"> </w:t>
      </w:r>
    </w:p>
    <w:p w14:paraId="3BB9F2D2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5C944D48" w14:textId="4065B3A0" w:rsidR="00403CD9" w:rsidRPr="00403CD9" w:rsidRDefault="00403CD9" w:rsidP="00403CD9">
      <w:pPr>
        <w:pStyle w:val="p1"/>
        <w:rPr>
          <w:b/>
          <w:bCs/>
          <w:sz w:val="24"/>
          <w:szCs w:val="24"/>
        </w:rPr>
      </w:pPr>
      <w:r w:rsidRPr="00403CD9">
        <w:rPr>
          <w:b/>
          <w:bCs/>
          <w:sz w:val="24"/>
          <w:szCs w:val="24"/>
        </w:rPr>
        <w:t>6. Continuïteit</w:t>
      </w:r>
    </w:p>
    <w:p w14:paraId="17801F29" w14:textId="2DCD4295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sz w:val="24"/>
          <w:szCs w:val="24"/>
        </w:rPr>
        <w:t>Dankzij vaste donateurs en duurzame relaties kunnen we onze lange termijn</w:t>
      </w:r>
      <w:r w:rsidRPr="00403CD9">
        <w:rPr>
          <w:sz w:val="24"/>
          <w:szCs w:val="24"/>
        </w:rPr>
        <w:t xml:space="preserve"> i</w:t>
      </w:r>
      <w:r w:rsidRPr="00403CD9">
        <w:rPr>
          <w:sz w:val="24"/>
          <w:szCs w:val="24"/>
        </w:rPr>
        <w:t>mpact veiligstellen.</w:t>
      </w:r>
    </w:p>
    <w:p w14:paraId="6E922551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29381ED2" w14:textId="77777777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b/>
          <w:bCs/>
          <w:sz w:val="24"/>
          <w:szCs w:val="24"/>
        </w:rPr>
        <w:t>7. Communicatie en Transparantie</w:t>
      </w:r>
    </w:p>
    <w:p w14:paraId="14AB65C9" w14:textId="2134B40E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sz w:val="24"/>
          <w:szCs w:val="24"/>
        </w:rPr>
        <w:t>True Green publiceert jaarlijks een jaarrekening en houdt haar donateurs en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publiek op de hoogte van de voortgang via de website en persoonlijke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updates.</w:t>
      </w:r>
    </w:p>
    <w:p w14:paraId="7C443BCA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0E6C933C" w14:textId="77777777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b/>
          <w:bCs/>
          <w:sz w:val="24"/>
          <w:szCs w:val="24"/>
        </w:rPr>
        <w:t>8. Bestuur en Beloningsbeleid</w:t>
      </w:r>
    </w:p>
    <w:p w14:paraId="5DAA9FAF" w14:textId="6B1DDE51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sz w:val="24"/>
          <w:szCs w:val="24"/>
        </w:rPr>
        <w:t>Het bestuur bestaat uit onbezoldigde leden, waarbij echtpaar Voskamp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samen één stem hebben:</w:t>
      </w:r>
    </w:p>
    <w:p w14:paraId="6AE4765F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52A06BA1" w14:textId="7660A087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rStyle w:val="s1"/>
          <w:rFonts w:ascii="Century Gothic" w:eastAsiaTheme="majorEastAsia" w:hAnsi="Century Gothic"/>
          <w:sz w:val="24"/>
          <w:szCs w:val="24"/>
        </w:rPr>
        <w:sym w:font="Symbol" w:char="F0B7"/>
      </w:r>
      <w:r w:rsidRPr="00403CD9">
        <w:rPr>
          <w:rStyle w:val="s2"/>
          <w:rFonts w:ascii="Century Gothic" w:eastAsiaTheme="majorEastAsia" w:hAnsi="Century Gothic"/>
          <w:sz w:val="24"/>
          <w:szCs w:val="24"/>
        </w:rPr>
        <w:t xml:space="preserve"> </w:t>
      </w:r>
      <w:r w:rsidRPr="00403CD9">
        <w:rPr>
          <w:b/>
          <w:bCs/>
          <w:sz w:val="24"/>
          <w:szCs w:val="24"/>
        </w:rPr>
        <w:t>Voorzitter:</w:t>
      </w:r>
      <w:r w:rsidRPr="00403CD9">
        <w:rPr>
          <w:sz w:val="24"/>
          <w:szCs w:val="24"/>
        </w:rPr>
        <w:t xml:space="preserve"> </w:t>
      </w:r>
      <w:r>
        <w:rPr>
          <w:sz w:val="24"/>
          <w:szCs w:val="24"/>
        </w:rPr>
        <w:t>Natasja Voskamp – van der Meer</w:t>
      </w:r>
    </w:p>
    <w:p w14:paraId="6F4DCFBC" w14:textId="04A1D3E1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rStyle w:val="s1"/>
          <w:rFonts w:ascii="Century Gothic" w:eastAsiaTheme="majorEastAsia" w:hAnsi="Century Gothic"/>
          <w:sz w:val="24"/>
          <w:szCs w:val="24"/>
        </w:rPr>
        <w:sym w:font="Symbol" w:char="F0B7"/>
      </w:r>
      <w:r w:rsidRPr="00403CD9">
        <w:rPr>
          <w:rStyle w:val="s2"/>
          <w:rFonts w:ascii="Century Gothic" w:eastAsiaTheme="majorEastAsia" w:hAnsi="Century Gothic"/>
          <w:sz w:val="24"/>
          <w:szCs w:val="24"/>
        </w:rPr>
        <w:t xml:space="preserve"> </w:t>
      </w:r>
      <w:r w:rsidRPr="00403CD9">
        <w:rPr>
          <w:b/>
          <w:bCs/>
          <w:sz w:val="24"/>
          <w:szCs w:val="24"/>
        </w:rPr>
        <w:t>Secretaris</w:t>
      </w:r>
      <w:r>
        <w:rPr>
          <w:b/>
          <w:bCs/>
          <w:sz w:val="24"/>
          <w:szCs w:val="24"/>
        </w:rPr>
        <w:t xml:space="preserve"> en Penningmeester: </w:t>
      </w:r>
      <w:r>
        <w:rPr>
          <w:sz w:val="24"/>
          <w:szCs w:val="24"/>
        </w:rPr>
        <w:t>Rien van der Post</w:t>
      </w:r>
    </w:p>
    <w:p w14:paraId="17274DBE" w14:textId="1ABB3C62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rStyle w:val="s1"/>
          <w:rFonts w:ascii="Century Gothic" w:eastAsiaTheme="majorEastAsia" w:hAnsi="Century Gothic"/>
          <w:sz w:val="24"/>
          <w:szCs w:val="24"/>
        </w:rPr>
        <w:sym w:font="Symbol" w:char="F0B7"/>
      </w:r>
      <w:r w:rsidRPr="00403CD9">
        <w:rPr>
          <w:rStyle w:val="s2"/>
          <w:rFonts w:ascii="Century Gothic" w:eastAsiaTheme="majorEastAsia" w:hAnsi="Century Gothic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Lid: </w:t>
      </w:r>
      <w:r w:rsidRPr="00403CD9">
        <w:rPr>
          <w:sz w:val="24"/>
          <w:szCs w:val="24"/>
        </w:rPr>
        <w:t>Jeroen Voskamp</w:t>
      </w:r>
    </w:p>
    <w:p w14:paraId="59DE41D2" w14:textId="057AF078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rStyle w:val="s1"/>
          <w:rFonts w:ascii="Century Gothic" w:eastAsiaTheme="majorEastAsia" w:hAnsi="Century Gothic"/>
          <w:sz w:val="24"/>
          <w:szCs w:val="24"/>
        </w:rPr>
        <w:sym w:font="Symbol" w:char="F0B7"/>
      </w:r>
      <w:r w:rsidRPr="00403CD9">
        <w:rPr>
          <w:rStyle w:val="s2"/>
          <w:rFonts w:ascii="Century Gothic" w:eastAsiaTheme="majorEastAsia" w:hAnsi="Century Gothic"/>
          <w:sz w:val="24"/>
          <w:szCs w:val="24"/>
        </w:rPr>
        <w:t xml:space="preserve"> </w:t>
      </w:r>
      <w:r w:rsidRPr="00403CD9">
        <w:rPr>
          <w:b/>
          <w:bCs/>
          <w:sz w:val="24"/>
          <w:szCs w:val="24"/>
        </w:rPr>
        <w:t>Lid:</w:t>
      </w:r>
      <w:r w:rsidRPr="00403CD9">
        <w:rPr>
          <w:sz w:val="24"/>
          <w:szCs w:val="24"/>
        </w:rPr>
        <w:t xml:space="preserve"> </w:t>
      </w:r>
      <w:proofErr w:type="spellStart"/>
      <w:r w:rsidRPr="00403CD9">
        <w:rPr>
          <w:sz w:val="24"/>
          <w:szCs w:val="24"/>
        </w:rPr>
        <w:t>Kristiaan</w:t>
      </w:r>
      <w:proofErr w:type="spellEnd"/>
      <w:r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Kamerling</w:t>
      </w:r>
    </w:p>
    <w:p w14:paraId="20D87737" w14:textId="77777777" w:rsidR="00403CD9" w:rsidRPr="00403CD9" w:rsidRDefault="00403CD9" w:rsidP="00403CD9">
      <w:pPr>
        <w:pStyle w:val="p1"/>
        <w:rPr>
          <w:sz w:val="24"/>
          <w:szCs w:val="24"/>
        </w:rPr>
      </w:pPr>
    </w:p>
    <w:p w14:paraId="3567D90C" w14:textId="73FAE376" w:rsidR="00403CD9" w:rsidRPr="00403CD9" w:rsidRDefault="00403CD9" w:rsidP="00403CD9">
      <w:pPr>
        <w:pStyle w:val="p1"/>
        <w:rPr>
          <w:sz w:val="24"/>
          <w:szCs w:val="24"/>
        </w:rPr>
      </w:pPr>
      <w:r w:rsidRPr="00403CD9">
        <w:rPr>
          <w:sz w:val="24"/>
          <w:szCs w:val="24"/>
        </w:rPr>
        <w:t>Stichting True Green werkt transparant en zet zich maximaal in voor het</w:t>
      </w:r>
      <w:r w:rsidRPr="00403CD9">
        <w:rPr>
          <w:sz w:val="24"/>
          <w:szCs w:val="24"/>
        </w:rPr>
        <w:t xml:space="preserve"> </w:t>
      </w:r>
      <w:r w:rsidRPr="00403CD9">
        <w:rPr>
          <w:sz w:val="24"/>
          <w:szCs w:val="24"/>
        </w:rPr>
        <w:t>beschermen van onze natuurlijke leefomgeving.</w:t>
      </w:r>
    </w:p>
    <w:p w14:paraId="63ACCABE" w14:textId="77777777" w:rsidR="00D5110C" w:rsidRPr="00403CD9" w:rsidRDefault="00D5110C"/>
    <w:sectPr w:rsidR="00D5110C" w:rsidRPr="00403CD9" w:rsidSect="008D33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CD1"/>
    <w:multiLevelType w:val="hybridMultilevel"/>
    <w:tmpl w:val="350804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67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D9"/>
    <w:rsid w:val="00403CD9"/>
    <w:rsid w:val="007B3A90"/>
    <w:rsid w:val="008D337A"/>
    <w:rsid w:val="00AB662A"/>
    <w:rsid w:val="00CE7ED8"/>
    <w:rsid w:val="00D5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8C2BAA"/>
  <w15:chartTrackingRefBased/>
  <w15:docId w15:val="{CDF20B7A-1F44-5649-B511-44AAF7C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3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3C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3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3C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3C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3C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3C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3C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3C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3CD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3CD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3C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3C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3C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3C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3C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3C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3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3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03C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3C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03CD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3CD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3CD9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ard"/>
    <w:rsid w:val="00403CD9"/>
    <w:rPr>
      <w:rFonts w:ascii="Century Gothic" w:eastAsia="Times New Roman" w:hAnsi="Century Gothic" w:cs="Times New Roman"/>
      <w:color w:val="000000"/>
      <w:sz w:val="18"/>
      <w:szCs w:val="18"/>
      <w:lang w:eastAsia="nl-NL"/>
    </w:rPr>
  </w:style>
  <w:style w:type="character" w:customStyle="1" w:styleId="s1">
    <w:name w:val="s1"/>
    <w:basedOn w:val="Standaardalinea-lettertype"/>
    <w:rsid w:val="00403CD9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Standaardalinea-lettertype"/>
    <w:rsid w:val="00403CD9"/>
    <w:rPr>
      <w:rFonts w:ascii="Arial" w:hAnsi="Arial" w:cs="Arial" w:hint="defaul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| tex.tracer</dc:creator>
  <cp:keywords/>
  <dc:description/>
  <cp:lastModifiedBy>Tom | tex.tracer</cp:lastModifiedBy>
  <cp:revision>1</cp:revision>
  <dcterms:created xsi:type="dcterms:W3CDTF">2025-03-26T09:24:00Z</dcterms:created>
  <dcterms:modified xsi:type="dcterms:W3CDTF">2025-03-26T09:31:00Z</dcterms:modified>
</cp:coreProperties>
</file>